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1686F6">
      <w:pPr>
        <w:snapToGrid w:val="0"/>
        <w:spacing w:line="360" w:lineRule="auto"/>
        <w:ind w:firstLine="630" w:firstLineChars="196"/>
        <w:rPr>
          <w:rFonts w:ascii="宋体" w:hAnsi="宋体" w:eastAsia="宋体"/>
          <w:b/>
          <w:sz w:val="32"/>
          <w:szCs w:val="32"/>
        </w:rPr>
      </w:pPr>
    </w:p>
    <w:p w14:paraId="1B526BA0">
      <w:pPr>
        <w:snapToGrid w:val="0"/>
        <w:spacing w:line="360" w:lineRule="auto"/>
        <w:rPr>
          <w:rFonts w:ascii="仿宋" w:hAnsi="仿宋" w:eastAsia="仿宋"/>
          <w:b/>
          <w:szCs w:val="28"/>
        </w:rPr>
      </w:pPr>
      <w:r>
        <w:rPr>
          <w:rFonts w:hint="eastAsia" w:ascii="仿宋" w:hAnsi="仿宋" w:eastAsia="仿宋"/>
          <w:b/>
          <w:szCs w:val="28"/>
        </w:rPr>
        <w:t>附表1</w:t>
      </w:r>
    </w:p>
    <w:p w14:paraId="159842BA">
      <w:pPr>
        <w:snapToGrid w:val="0"/>
        <w:spacing w:line="360" w:lineRule="auto"/>
        <w:jc w:val="center"/>
        <w:rPr>
          <w:rFonts w:ascii="宋体" w:hAnsi="宋体" w:eastAsia="宋体"/>
          <w:b/>
          <w:sz w:val="32"/>
          <w:szCs w:val="32"/>
        </w:rPr>
      </w:pPr>
      <w:r>
        <w:rPr>
          <w:rFonts w:hint="eastAsia" w:ascii="宋体" w:hAnsi="宋体" w:eastAsia="宋体"/>
          <w:b/>
          <w:color w:val="auto"/>
          <w:sz w:val="32"/>
          <w:szCs w:val="32"/>
        </w:rPr>
        <w:t>协会</w:t>
      </w:r>
      <w:r>
        <w:rPr>
          <w:rFonts w:hint="eastAsia" w:ascii="宋体" w:hAnsi="宋体" w:eastAsia="宋体"/>
          <w:b/>
          <w:sz w:val="32"/>
          <w:szCs w:val="32"/>
        </w:rPr>
        <w:t>标准项目建议书</w:t>
      </w:r>
    </w:p>
    <w:tbl>
      <w:tblPr>
        <w:tblStyle w:val="7"/>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928"/>
        <w:gridCol w:w="886"/>
        <w:gridCol w:w="957"/>
        <w:gridCol w:w="744"/>
        <w:gridCol w:w="1900"/>
      </w:tblGrid>
      <w:tr w14:paraId="5BE2A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jc w:val="center"/>
        </w:trPr>
        <w:tc>
          <w:tcPr>
            <w:tcW w:w="2167" w:type="dxa"/>
            <w:vAlign w:val="center"/>
          </w:tcPr>
          <w:p w14:paraId="7B3DED9C">
            <w:pPr>
              <w:snapToGrid w:val="0"/>
              <w:spacing w:line="360" w:lineRule="auto"/>
              <w:jc w:val="center"/>
              <w:rPr>
                <w:rFonts w:ascii="宋体" w:hAnsi="宋体" w:eastAsia="宋体"/>
                <w:color w:val="auto"/>
                <w:sz w:val="18"/>
                <w:szCs w:val="18"/>
              </w:rPr>
            </w:pPr>
            <w:r>
              <w:rPr>
                <w:rFonts w:hint="eastAsia" w:ascii="宋体" w:hAnsi="宋体" w:eastAsia="宋体"/>
                <w:color w:val="auto"/>
                <w:sz w:val="18"/>
                <w:szCs w:val="18"/>
              </w:rPr>
              <w:t>建议项目名称</w:t>
            </w:r>
          </w:p>
          <w:p w14:paraId="33C8158A">
            <w:pPr>
              <w:snapToGrid w:val="0"/>
              <w:spacing w:line="360" w:lineRule="auto"/>
              <w:ind w:left="-5" w:leftChars="-6" w:hanging="12" w:hangingChars="7"/>
              <w:jc w:val="center"/>
              <w:rPr>
                <w:rFonts w:ascii="宋体" w:hAnsi="宋体" w:eastAsia="宋体"/>
                <w:color w:val="auto"/>
                <w:sz w:val="18"/>
                <w:szCs w:val="18"/>
              </w:rPr>
            </w:pPr>
            <w:r>
              <w:rPr>
                <w:rFonts w:ascii="宋体" w:hAnsi="宋体" w:eastAsia="宋体"/>
                <w:color w:val="auto"/>
                <w:sz w:val="18"/>
                <w:szCs w:val="18"/>
              </w:rPr>
              <w:t>(</w:t>
            </w:r>
            <w:r>
              <w:rPr>
                <w:rFonts w:hint="eastAsia" w:ascii="宋体" w:hAnsi="宋体" w:eastAsia="宋体"/>
                <w:color w:val="auto"/>
                <w:sz w:val="18"/>
                <w:szCs w:val="18"/>
              </w:rPr>
              <w:t>中文</w:t>
            </w:r>
            <w:r>
              <w:rPr>
                <w:rFonts w:ascii="宋体" w:hAnsi="宋体" w:eastAsia="宋体"/>
                <w:color w:val="auto"/>
                <w:sz w:val="18"/>
                <w:szCs w:val="18"/>
              </w:rPr>
              <w:t>)</w:t>
            </w:r>
          </w:p>
        </w:tc>
        <w:tc>
          <w:tcPr>
            <w:tcW w:w="3086" w:type="dxa"/>
            <w:gridSpan w:val="4"/>
            <w:vAlign w:val="center"/>
          </w:tcPr>
          <w:p w14:paraId="17FEB679">
            <w:pPr>
              <w:snapToGrid w:val="0"/>
              <w:spacing w:line="360" w:lineRule="auto"/>
              <w:rPr>
                <w:rFonts w:hint="default" w:ascii="宋体" w:hAnsi="宋体" w:eastAsia="宋体"/>
                <w:color w:val="auto"/>
                <w:sz w:val="18"/>
                <w:szCs w:val="18"/>
                <w:lang w:val="en-US" w:eastAsia="zh-CN"/>
              </w:rPr>
            </w:pPr>
            <w:r>
              <w:rPr>
                <w:rFonts w:hint="default" w:ascii="宋体" w:hAnsi="宋体" w:eastAsia="宋体"/>
                <w:color w:val="auto"/>
                <w:sz w:val="18"/>
                <w:szCs w:val="18"/>
                <w:lang w:val="en-US" w:eastAsia="zh-CN"/>
              </w:rPr>
              <w:t xml:space="preserve">建材产品使用说明书 </w:t>
            </w:r>
            <w:r>
              <w:rPr>
                <w:rFonts w:hint="eastAsia" w:ascii="宋体" w:hAnsi="宋体" w:eastAsia="宋体"/>
                <w:color w:val="auto"/>
                <w:sz w:val="18"/>
                <w:szCs w:val="18"/>
                <w:lang w:val="en-US" w:eastAsia="zh-CN"/>
              </w:rPr>
              <w:t>抗菌防霉装饰</w:t>
            </w:r>
            <w:r>
              <w:rPr>
                <w:rFonts w:hint="default" w:ascii="宋体" w:hAnsi="宋体" w:eastAsia="宋体"/>
                <w:color w:val="auto"/>
                <w:sz w:val="18"/>
                <w:szCs w:val="18"/>
                <w:lang w:val="en-US" w:eastAsia="zh-CN"/>
              </w:rPr>
              <w:t>板</w:t>
            </w:r>
          </w:p>
        </w:tc>
        <w:tc>
          <w:tcPr>
            <w:tcW w:w="1843" w:type="dxa"/>
            <w:gridSpan w:val="2"/>
            <w:vAlign w:val="center"/>
          </w:tcPr>
          <w:p w14:paraId="299E92B1">
            <w:pPr>
              <w:snapToGrid w:val="0"/>
              <w:spacing w:line="360" w:lineRule="auto"/>
              <w:jc w:val="center"/>
              <w:rPr>
                <w:rFonts w:ascii="宋体" w:hAnsi="宋体" w:eastAsia="宋体"/>
                <w:color w:val="auto"/>
                <w:sz w:val="18"/>
                <w:szCs w:val="18"/>
              </w:rPr>
            </w:pPr>
            <w:r>
              <w:rPr>
                <w:rFonts w:hint="eastAsia" w:ascii="宋体" w:hAnsi="宋体" w:eastAsia="宋体"/>
                <w:color w:val="auto"/>
                <w:sz w:val="18"/>
                <w:szCs w:val="18"/>
              </w:rPr>
              <w:t>建议项目名称</w:t>
            </w:r>
          </w:p>
          <w:p w14:paraId="3C1BBF49">
            <w:pPr>
              <w:snapToGrid w:val="0"/>
              <w:spacing w:line="360" w:lineRule="auto"/>
              <w:jc w:val="center"/>
              <w:rPr>
                <w:rFonts w:ascii="宋体" w:hAnsi="宋体" w:eastAsia="宋体"/>
                <w:color w:val="auto"/>
                <w:sz w:val="18"/>
                <w:szCs w:val="18"/>
              </w:rPr>
            </w:pPr>
            <w:r>
              <w:rPr>
                <w:rFonts w:ascii="宋体" w:hAnsi="宋体" w:eastAsia="宋体"/>
                <w:color w:val="auto"/>
                <w:sz w:val="18"/>
                <w:szCs w:val="18"/>
              </w:rPr>
              <w:t>(</w:t>
            </w:r>
            <w:r>
              <w:rPr>
                <w:rFonts w:hint="eastAsia" w:ascii="宋体" w:hAnsi="宋体" w:eastAsia="宋体"/>
                <w:color w:val="auto"/>
                <w:sz w:val="18"/>
                <w:szCs w:val="18"/>
              </w:rPr>
              <w:t>英文</w:t>
            </w:r>
            <w:r>
              <w:rPr>
                <w:rFonts w:ascii="宋体" w:hAnsi="宋体" w:eastAsia="宋体"/>
                <w:color w:val="auto"/>
                <w:sz w:val="18"/>
                <w:szCs w:val="18"/>
              </w:rPr>
              <w:t>)</w:t>
            </w:r>
          </w:p>
        </w:tc>
        <w:tc>
          <w:tcPr>
            <w:tcW w:w="2644" w:type="dxa"/>
            <w:gridSpan w:val="2"/>
            <w:vAlign w:val="center"/>
          </w:tcPr>
          <w:p w14:paraId="2E70E175">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eastAsia="宋体"/>
                <w:color w:val="auto"/>
                <w:sz w:val="18"/>
                <w:szCs w:val="18"/>
              </w:rPr>
            </w:pPr>
            <w:r>
              <w:rPr>
                <w:rFonts w:hint="eastAsia" w:ascii="宋体" w:hAnsi="宋体" w:eastAsia="宋体"/>
                <w:color w:val="auto"/>
                <w:sz w:val="18"/>
                <w:szCs w:val="18"/>
              </w:rPr>
              <w:t>Operating manual of building materials products—Antibacterial and mold-resistant decorative panel</w:t>
            </w:r>
          </w:p>
        </w:tc>
      </w:tr>
      <w:tr w14:paraId="7FEAB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14:paraId="01F3B627">
            <w:pPr>
              <w:snapToGrid w:val="0"/>
              <w:spacing w:line="360" w:lineRule="auto"/>
              <w:jc w:val="center"/>
              <w:rPr>
                <w:rFonts w:ascii="宋体" w:hAnsi="宋体" w:eastAsia="宋体"/>
                <w:color w:val="auto"/>
                <w:sz w:val="18"/>
                <w:szCs w:val="18"/>
              </w:rPr>
            </w:pPr>
            <w:r>
              <w:rPr>
                <w:rFonts w:hint="eastAsia" w:ascii="宋体" w:hAnsi="宋体" w:eastAsia="宋体"/>
                <w:color w:val="auto"/>
                <w:sz w:val="18"/>
                <w:szCs w:val="18"/>
              </w:rPr>
              <w:t>制定或修订</w:t>
            </w:r>
          </w:p>
        </w:tc>
        <w:tc>
          <w:tcPr>
            <w:tcW w:w="1618" w:type="dxa"/>
            <w:gridSpan w:val="2"/>
            <w:vAlign w:val="center"/>
          </w:tcPr>
          <w:p w14:paraId="4F0AD6E4">
            <w:pPr>
              <w:snapToGrid w:val="0"/>
              <w:spacing w:line="360" w:lineRule="auto"/>
              <w:rPr>
                <w:rFonts w:ascii="宋体" w:hAnsi="宋体" w:eastAsia="宋体"/>
                <w:color w:val="auto"/>
                <w:sz w:val="18"/>
                <w:szCs w:val="18"/>
              </w:rPr>
            </w:pPr>
            <w:r>
              <w:rPr>
                <w:rFonts w:hint="eastAsia" w:ascii="宋体" w:hAnsi="宋体" w:eastAsia="宋体"/>
                <w:color w:val="auto"/>
                <w:sz w:val="18"/>
                <w:szCs w:val="18"/>
                <w:lang w:eastAsia="zh-CN"/>
              </w:rPr>
              <w:t>☑</w:t>
            </w:r>
            <w:r>
              <w:rPr>
                <w:rFonts w:hint="eastAsia" w:ascii="宋体" w:hAnsi="宋体" w:eastAsia="宋体"/>
                <w:color w:val="auto"/>
                <w:sz w:val="18"/>
                <w:szCs w:val="18"/>
              </w:rPr>
              <w:t xml:space="preserve"> 制定</w:t>
            </w:r>
          </w:p>
        </w:tc>
        <w:tc>
          <w:tcPr>
            <w:tcW w:w="1468" w:type="dxa"/>
            <w:gridSpan w:val="2"/>
            <w:vAlign w:val="center"/>
          </w:tcPr>
          <w:p w14:paraId="7693BC2D">
            <w:pPr>
              <w:snapToGrid w:val="0"/>
              <w:spacing w:line="360" w:lineRule="auto"/>
              <w:rPr>
                <w:rFonts w:ascii="宋体" w:hAnsi="宋体" w:eastAsia="宋体"/>
                <w:color w:val="auto"/>
                <w:sz w:val="18"/>
                <w:szCs w:val="18"/>
              </w:rPr>
            </w:pPr>
            <w:r>
              <w:rPr>
                <w:rFonts w:hint="eastAsia" w:ascii="宋体" w:hAnsi="宋体" w:eastAsia="宋体"/>
                <w:color w:val="auto"/>
                <w:sz w:val="18"/>
                <w:szCs w:val="18"/>
              </w:rPr>
              <w:t>□ 修订</w:t>
            </w:r>
          </w:p>
        </w:tc>
        <w:tc>
          <w:tcPr>
            <w:tcW w:w="1843" w:type="dxa"/>
            <w:gridSpan w:val="2"/>
            <w:vAlign w:val="center"/>
          </w:tcPr>
          <w:p w14:paraId="2B8ECAB2">
            <w:pPr>
              <w:snapToGrid w:val="0"/>
              <w:spacing w:line="360" w:lineRule="auto"/>
              <w:jc w:val="center"/>
              <w:rPr>
                <w:rFonts w:ascii="宋体" w:hAnsi="宋体" w:eastAsia="宋体"/>
                <w:color w:val="auto"/>
                <w:sz w:val="18"/>
                <w:szCs w:val="18"/>
              </w:rPr>
            </w:pPr>
            <w:r>
              <w:rPr>
                <w:rFonts w:hint="eastAsia" w:ascii="宋体" w:hAnsi="宋体" w:eastAsia="宋体"/>
                <w:color w:val="auto"/>
                <w:sz w:val="18"/>
                <w:szCs w:val="18"/>
              </w:rPr>
              <w:t>被修订标准号</w:t>
            </w:r>
          </w:p>
        </w:tc>
        <w:tc>
          <w:tcPr>
            <w:tcW w:w="2644" w:type="dxa"/>
            <w:gridSpan w:val="2"/>
            <w:vAlign w:val="center"/>
          </w:tcPr>
          <w:p w14:paraId="1695D9B2">
            <w:pPr>
              <w:snapToGrid w:val="0"/>
              <w:spacing w:line="360" w:lineRule="auto"/>
              <w:rPr>
                <w:rFonts w:hint="eastAsia" w:ascii="宋体" w:hAnsi="宋体" w:eastAsia="宋体"/>
                <w:color w:val="auto"/>
                <w:sz w:val="18"/>
                <w:szCs w:val="18"/>
                <w:lang w:val="en-US" w:eastAsia="zh-CN"/>
              </w:rPr>
            </w:pPr>
            <w:r>
              <w:rPr>
                <w:rFonts w:hint="eastAsia" w:ascii="宋体" w:hAnsi="宋体" w:eastAsia="宋体"/>
                <w:color w:val="auto"/>
                <w:sz w:val="18"/>
                <w:szCs w:val="18"/>
                <w:lang w:val="en-US" w:eastAsia="zh-CN"/>
              </w:rPr>
              <w:t>/</w:t>
            </w:r>
          </w:p>
        </w:tc>
      </w:tr>
      <w:tr w14:paraId="60BB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5230C168">
            <w:pPr>
              <w:snapToGrid w:val="0"/>
              <w:spacing w:line="360" w:lineRule="auto"/>
              <w:jc w:val="center"/>
              <w:rPr>
                <w:rFonts w:ascii="宋体" w:hAnsi="宋体" w:eastAsia="宋体"/>
                <w:color w:val="auto"/>
                <w:sz w:val="18"/>
                <w:szCs w:val="18"/>
              </w:rPr>
            </w:pPr>
            <w:r>
              <w:rPr>
                <w:rFonts w:hint="eastAsia" w:ascii="宋体" w:hAnsi="宋体" w:eastAsia="宋体"/>
                <w:color w:val="auto"/>
                <w:sz w:val="18"/>
                <w:szCs w:val="18"/>
              </w:rPr>
              <w:t>采用程度</w:t>
            </w:r>
          </w:p>
        </w:tc>
        <w:tc>
          <w:tcPr>
            <w:tcW w:w="1078" w:type="dxa"/>
            <w:vAlign w:val="center"/>
          </w:tcPr>
          <w:p w14:paraId="3F783A4F">
            <w:pPr>
              <w:snapToGrid w:val="0"/>
              <w:spacing w:line="360" w:lineRule="auto"/>
              <w:rPr>
                <w:rFonts w:ascii="宋体" w:hAnsi="宋体" w:eastAsia="宋体"/>
                <w:color w:val="auto"/>
                <w:sz w:val="18"/>
                <w:szCs w:val="18"/>
              </w:rPr>
            </w:pPr>
            <w:r>
              <w:rPr>
                <w:rFonts w:hint="eastAsia" w:ascii="宋体" w:hAnsi="宋体" w:eastAsia="宋体"/>
                <w:color w:val="auto"/>
                <w:sz w:val="18"/>
                <w:szCs w:val="18"/>
              </w:rPr>
              <w:t>□ IDT</w:t>
            </w:r>
          </w:p>
        </w:tc>
        <w:tc>
          <w:tcPr>
            <w:tcW w:w="1080" w:type="dxa"/>
            <w:gridSpan w:val="2"/>
            <w:vAlign w:val="center"/>
          </w:tcPr>
          <w:p w14:paraId="53C5FCF1">
            <w:pPr>
              <w:snapToGrid w:val="0"/>
              <w:spacing w:line="360" w:lineRule="auto"/>
              <w:rPr>
                <w:rFonts w:ascii="宋体" w:hAnsi="宋体" w:eastAsia="宋体"/>
                <w:color w:val="auto"/>
                <w:sz w:val="18"/>
                <w:szCs w:val="18"/>
              </w:rPr>
            </w:pPr>
            <w:r>
              <w:rPr>
                <w:rFonts w:hint="eastAsia" w:ascii="宋体" w:hAnsi="宋体" w:eastAsia="宋体"/>
                <w:color w:val="auto"/>
                <w:sz w:val="18"/>
                <w:szCs w:val="18"/>
              </w:rPr>
              <w:t>□ MOD</w:t>
            </w:r>
          </w:p>
        </w:tc>
        <w:tc>
          <w:tcPr>
            <w:tcW w:w="928" w:type="dxa"/>
            <w:vAlign w:val="center"/>
          </w:tcPr>
          <w:p w14:paraId="02C4A625">
            <w:pPr>
              <w:snapToGrid w:val="0"/>
              <w:spacing w:line="360" w:lineRule="auto"/>
              <w:rPr>
                <w:rFonts w:ascii="宋体" w:hAnsi="宋体" w:eastAsia="宋体"/>
                <w:color w:val="auto"/>
                <w:sz w:val="18"/>
                <w:szCs w:val="18"/>
              </w:rPr>
            </w:pPr>
            <w:r>
              <w:rPr>
                <w:rFonts w:hint="eastAsia" w:ascii="宋体" w:hAnsi="宋体" w:eastAsia="宋体"/>
                <w:color w:val="auto"/>
                <w:sz w:val="18"/>
                <w:szCs w:val="18"/>
              </w:rPr>
              <w:t>□ NEQ</w:t>
            </w:r>
          </w:p>
        </w:tc>
        <w:tc>
          <w:tcPr>
            <w:tcW w:w="1843" w:type="dxa"/>
            <w:gridSpan w:val="2"/>
            <w:vAlign w:val="center"/>
          </w:tcPr>
          <w:p w14:paraId="052E639C">
            <w:pPr>
              <w:snapToGrid w:val="0"/>
              <w:spacing w:line="360" w:lineRule="auto"/>
              <w:jc w:val="center"/>
              <w:rPr>
                <w:rFonts w:ascii="宋体" w:hAnsi="宋体" w:eastAsia="宋体"/>
                <w:color w:val="auto"/>
                <w:sz w:val="18"/>
                <w:szCs w:val="18"/>
              </w:rPr>
            </w:pPr>
            <w:r>
              <w:rPr>
                <w:rFonts w:hint="eastAsia" w:ascii="宋体" w:hAnsi="宋体" w:eastAsia="宋体"/>
                <w:color w:val="auto"/>
                <w:sz w:val="18"/>
                <w:szCs w:val="18"/>
              </w:rPr>
              <w:t>采标号</w:t>
            </w:r>
          </w:p>
        </w:tc>
        <w:tc>
          <w:tcPr>
            <w:tcW w:w="2644" w:type="dxa"/>
            <w:gridSpan w:val="2"/>
            <w:vAlign w:val="center"/>
          </w:tcPr>
          <w:p w14:paraId="3C3603A4">
            <w:pPr>
              <w:snapToGrid w:val="0"/>
              <w:spacing w:line="360" w:lineRule="auto"/>
              <w:rPr>
                <w:rFonts w:hint="eastAsia" w:ascii="宋体" w:hAnsi="宋体" w:eastAsia="宋体"/>
                <w:color w:val="auto"/>
                <w:sz w:val="18"/>
                <w:szCs w:val="18"/>
                <w:lang w:val="en-US" w:eastAsia="zh-CN"/>
              </w:rPr>
            </w:pPr>
            <w:r>
              <w:rPr>
                <w:rFonts w:hint="eastAsia" w:ascii="宋体" w:hAnsi="宋体" w:eastAsia="宋体"/>
                <w:color w:val="auto"/>
                <w:sz w:val="18"/>
                <w:szCs w:val="18"/>
                <w:lang w:val="en-US" w:eastAsia="zh-CN"/>
              </w:rPr>
              <w:t>/</w:t>
            </w:r>
          </w:p>
        </w:tc>
      </w:tr>
      <w:tr w14:paraId="73A11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1D6D0708">
            <w:pPr>
              <w:snapToGrid w:val="0"/>
              <w:spacing w:line="360" w:lineRule="auto"/>
              <w:jc w:val="center"/>
              <w:rPr>
                <w:rFonts w:ascii="宋体" w:hAnsi="宋体" w:eastAsia="宋体"/>
                <w:color w:val="auto"/>
                <w:sz w:val="18"/>
                <w:szCs w:val="18"/>
              </w:rPr>
            </w:pPr>
            <w:r>
              <w:rPr>
                <w:rFonts w:hint="eastAsia" w:ascii="宋体" w:hAnsi="宋体" w:eastAsia="宋体"/>
                <w:color w:val="auto"/>
                <w:sz w:val="18"/>
                <w:szCs w:val="18"/>
              </w:rPr>
              <w:t>国际标准名称（中文）</w:t>
            </w:r>
          </w:p>
        </w:tc>
        <w:tc>
          <w:tcPr>
            <w:tcW w:w="3086" w:type="dxa"/>
            <w:gridSpan w:val="4"/>
            <w:vAlign w:val="center"/>
          </w:tcPr>
          <w:p w14:paraId="11170193">
            <w:pPr>
              <w:snapToGrid w:val="0"/>
              <w:spacing w:line="360" w:lineRule="auto"/>
              <w:rPr>
                <w:rFonts w:ascii="宋体" w:hAnsi="宋体" w:eastAsia="宋体"/>
                <w:color w:val="auto"/>
                <w:sz w:val="18"/>
                <w:szCs w:val="18"/>
              </w:rPr>
            </w:pPr>
          </w:p>
        </w:tc>
        <w:tc>
          <w:tcPr>
            <w:tcW w:w="1843" w:type="dxa"/>
            <w:gridSpan w:val="2"/>
            <w:vAlign w:val="center"/>
          </w:tcPr>
          <w:p w14:paraId="4AB42558">
            <w:pPr>
              <w:snapToGrid w:val="0"/>
              <w:spacing w:line="360" w:lineRule="auto"/>
              <w:jc w:val="center"/>
              <w:rPr>
                <w:rFonts w:ascii="宋体" w:hAnsi="宋体" w:eastAsia="宋体"/>
                <w:color w:val="auto"/>
                <w:sz w:val="18"/>
                <w:szCs w:val="18"/>
              </w:rPr>
            </w:pPr>
            <w:r>
              <w:rPr>
                <w:rFonts w:hint="eastAsia" w:ascii="宋体" w:hAnsi="宋体" w:eastAsia="宋体"/>
                <w:color w:val="auto"/>
                <w:sz w:val="18"/>
                <w:szCs w:val="18"/>
              </w:rPr>
              <w:t>国际标准名称（英文）</w:t>
            </w:r>
          </w:p>
        </w:tc>
        <w:tc>
          <w:tcPr>
            <w:tcW w:w="2644" w:type="dxa"/>
            <w:gridSpan w:val="2"/>
            <w:vAlign w:val="center"/>
          </w:tcPr>
          <w:p w14:paraId="59EBA5A0">
            <w:pPr>
              <w:snapToGrid w:val="0"/>
              <w:spacing w:line="360" w:lineRule="auto"/>
              <w:rPr>
                <w:rFonts w:ascii="宋体" w:hAnsi="宋体" w:eastAsia="宋体"/>
                <w:color w:val="auto"/>
                <w:sz w:val="18"/>
                <w:szCs w:val="18"/>
              </w:rPr>
            </w:pPr>
          </w:p>
        </w:tc>
      </w:tr>
      <w:tr w14:paraId="045DA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7BCE70BF">
            <w:pPr>
              <w:snapToGrid w:val="0"/>
              <w:spacing w:line="360" w:lineRule="auto"/>
              <w:jc w:val="center"/>
              <w:rPr>
                <w:rFonts w:ascii="宋体" w:hAnsi="宋体" w:eastAsia="宋体"/>
                <w:color w:val="auto"/>
                <w:sz w:val="18"/>
                <w:szCs w:val="18"/>
              </w:rPr>
            </w:pPr>
            <w:r>
              <w:rPr>
                <w:rFonts w:ascii="宋体" w:hAnsi="宋体" w:eastAsia="宋体"/>
                <w:color w:val="auto"/>
                <w:sz w:val="18"/>
                <w:szCs w:val="18"/>
              </w:rPr>
              <w:t>ICS</w:t>
            </w:r>
            <w:r>
              <w:rPr>
                <w:rFonts w:hint="eastAsia" w:ascii="宋体" w:hAnsi="宋体" w:eastAsia="宋体"/>
                <w:color w:val="auto"/>
                <w:sz w:val="18"/>
                <w:szCs w:val="18"/>
              </w:rPr>
              <w:t>分类号</w:t>
            </w:r>
          </w:p>
        </w:tc>
        <w:tc>
          <w:tcPr>
            <w:tcW w:w="3086" w:type="dxa"/>
            <w:gridSpan w:val="4"/>
            <w:vAlign w:val="center"/>
          </w:tcPr>
          <w:p w14:paraId="3A57D82C">
            <w:pPr>
              <w:snapToGrid w:val="0"/>
              <w:spacing w:line="360" w:lineRule="auto"/>
              <w:rPr>
                <w:rFonts w:hint="default" w:ascii="宋体" w:hAnsi="宋体" w:eastAsia="宋体"/>
                <w:color w:val="auto"/>
                <w:sz w:val="18"/>
                <w:szCs w:val="18"/>
                <w:lang w:val="en-US" w:eastAsia="zh-CN"/>
              </w:rPr>
            </w:pPr>
            <w:r>
              <w:rPr>
                <w:rFonts w:hint="eastAsia" w:ascii="宋体" w:hAnsi="宋体" w:eastAsia="宋体"/>
                <w:color w:val="auto"/>
                <w:sz w:val="18"/>
                <w:szCs w:val="18"/>
              </w:rPr>
              <w:t>91.100</w:t>
            </w:r>
            <w:r>
              <w:rPr>
                <w:rFonts w:hint="eastAsia" w:ascii="宋体" w:hAnsi="宋体" w:eastAsia="宋体"/>
                <w:color w:val="auto"/>
                <w:sz w:val="18"/>
                <w:szCs w:val="18"/>
                <w:lang w:val="en-US" w:eastAsia="zh-CN"/>
              </w:rPr>
              <w:t>.01</w:t>
            </w:r>
          </w:p>
        </w:tc>
        <w:tc>
          <w:tcPr>
            <w:tcW w:w="1843" w:type="dxa"/>
            <w:gridSpan w:val="2"/>
            <w:vAlign w:val="center"/>
          </w:tcPr>
          <w:p w14:paraId="089A211D">
            <w:pPr>
              <w:snapToGrid w:val="0"/>
              <w:spacing w:line="360" w:lineRule="auto"/>
              <w:jc w:val="center"/>
              <w:rPr>
                <w:rFonts w:ascii="宋体" w:hAnsi="宋体" w:eastAsia="宋体"/>
                <w:color w:val="auto"/>
                <w:sz w:val="18"/>
                <w:szCs w:val="18"/>
              </w:rPr>
            </w:pPr>
            <w:r>
              <w:rPr>
                <w:rFonts w:hint="eastAsia" w:ascii="宋体" w:hAnsi="宋体" w:eastAsia="宋体"/>
                <w:color w:val="auto"/>
                <w:sz w:val="18"/>
                <w:szCs w:val="18"/>
              </w:rPr>
              <w:t>中国标准分类号</w:t>
            </w:r>
          </w:p>
        </w:tc>
        <w:tc>
          <w:tcPr>
            <w:tcW w:w="2644" w:type="dxa"/>
            <w:gridSpan w:val="2"/>
            <w:vAlign w:val="center"/>
          </w:tcPr>
          <w:p w14:paraId="4D142586">
            <w:pPr>
              <w:snapToGrid w:val="0"/>
              <w:spacing w:line="360" w:lineRule="auto"/>
              <w:rPr>
                <w:rFonts w:hint="default" w:ascii="宋体" w:hAnsi="宋体" w:eastAsia="宋体"/>
                <w:color w:val="auto"/>
                <w:sz w:val="18"/>
                <w:szCs w:val="18"/>
                <w:lang w:val="en-US" w:eastAsia="zh-CN"/>
              </w:rPr>
            </w:pPr>
            <w:r>
              <w:rPr>
                <w:rFonts w:hint="eastAsia" w:ascii="宋体" w:hAnsi="宋体" w:eastAsia="宋体"/>
                <w:color w:val="auto"/>
                <w:sz w:val="18"/>
                <w:szCs w:val="18"/>
              </w:rPr>
              <w:t xml:space="preserve">Q </w:t>
            </w:r>
            <w:r>
              <w:rPr>
                <w:rFonts w:hint="eastAsia" w:ascii="宋体" w:hAnsi="宋体" w:eastAsia="宋体"/>
                <w:color w:val="auto"/>
                <w:sz w:val="18"/>
                <w:szCs w:val="18"/>
                <w:lang w:val="en-US" w:eastAsia="zh-CN"/>
              </w:rPr>
              <w:t>01</w:t>
            </w:r>
          </w:p>
        </w:tc>
      </w:tr>
      <w:tr w14:paraId="3C1E1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vAlign w:val="center"/>
          </w:tcPr>
          <w:p w14:paraId="703AEE81">
            <w:pPr>
              <w:snapToGrid w:val="0"/>
              <w:spacing w:line="360" w:lineRule="auto"/>
              <w:jc w:val="center"/>
              <w:rPr>
                <w:rFonts w:ascii="宋体" w:hAnsi="宋体" w:eastAsia="宋体"/>
                <w:color w:val="auto"/>
                <w:sz w:val="18"/>
                <w:szCs w:val="18"/>
              </w:rPr>
            </w:pPr>
            <w:r>
              <w:rPr>
                <w:rFonts w:hint="eastAsia" w:ascii="宋体" w:hAnsi="宋体" w:eastAsia="宋体"/>
                <w:color w:val="auto"/>
                <w:sz w:val="18"/>
                <w:szCs w:val="18"/>
              </w:rPr>
              <w:t>标准主要起草单位</w:t>
            </w:r>
          </w:p>
        </w:tc>
        <w:tc>
          <w:tcPr>
            <w:tcW w:w="3086" w:type="dxa"/>
            <w:gridSpan w:val="4"/>
            <w:vAlign w:val="center"/>
          </w:tcPr>
          <w:p w14:paraId="1F5DEFD9">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default" w:ascii="宋体" w:hAnsi="宋体" w:eastAsia="宋体"/>
                <w:color w:val="auto"/>
                <w:sz w:val="18"/>
                <w:szCs w:val="18"/>
                <w:lang w:val="en-US" w:eastAsia="zh-CN"/>
              </w:rPr>
            </w:pPr>
            <w:r>
              <w:rPr>
                <w:rFonts w:hint="eastAsia" w:ascii="宋体" w:hAnsi="宋体" w:eastAsia="宋体"/>
                <w:color w:val="auto"/>
                <w:sz w:val="18"/>
                <w:szCs w:val="18"/>
              </w:rPr>
              <w:t>中国建筑材料科学研究总院有限公司、</w:t>
            </w:r>
            <w:r>
              <w:rPr>
                <w:rFonts w:hint="eastAsia" w:ascii="宋体" w:hAnsi="宋体" w:eastAsia="宋体"/>
                <w:color w:val="auto"/>
                <w:sz w:val="18"/>
                <w:szCs w:val="18"/>
                <w:lang w:val="en-US" w:eastAsia="zh-CN"/>
              </w:rPr>
              <w:t>千年舟新材科技集团股份有限公司、浙江升华云峰新材股份有限公司、德华兔宝宝装饰新材股份有限公司</w:t>
            </w:r>
          </w:p>
        </w:tc>
        <w:tc>
          <w:tcPr>
            <w:tcW w:w="1843" w:type="dxa"/>
            <w:gridSpan w:val="2"/>
            <w:vAlign w:val="center"/>
          </w:tcPr>
          <w:p w14:paraId="6BFC40DC">
            <w:pPr>
              <w:snapToGrid w:val="0"/>
              <w:spacing w:line="360" w:lineRule="auto"/>
              <w:jc w:val="center"/>
              <w:rPr>
                <w:rFonts w:ascii="宋体" w:hAnsi="宋体" w:eastAsia="宋体"/>
                <w:color w:val="auto"/>
                <w:sz w:val="18"/>
                <w:szCs w:val="18"/>
              </w:rPr>
            </w:pPr>
            <w:r>
              <w:rPr>
                <w:rFonts w:hint="eastAsia" w:ascii="宋体" w:hAnsi="宋体" w:eastAsia="宋体"/>
                <w:color w:val="auto"/>
                <w:sz w:val="18"/>
                <w:szCs w:val="18"/>
              </w:rPr>
              <w:t>计划起止时间</w:t>
            </w:r>
          </w:p>
        </w:tc>
        <w:tc>
          <w:tcPr>
            <w:tcW w:w="2644" w:type="dxa"/>
            <w:gridSpan w:val="2"/>
            <w:vAlign w:val="center"/>
          </w:tcPr>
          <w:p w14:paraId="12252B6E">
            <w:pPr>
              <w:snapToGrid w:val="0"/>
              <w:spacing w:line="360" w:lineRule="auto"/>
              <w:rPr>
                <w:rFonts w:hint="default" w:ascii="宋体" w:hAnsi="宋体" w:eastAsia="宋体"/>
                <w:color w:val="auto"/>
                <w:sz w:val="18"/>
                <w:szCs w:val="18"/>
                <w:lang w:val="en-US" w:eastAsia="zh-CN"/>
              </w:rPr>
            </w:pPr>
            <w:r>
              <w:rPr>
                <w:rFonts w:hint="eastAsia" w:ascii="宋体" w:hAnsi="宋体" w:eastAsia="宋体"/>
                <w:color w:val="auto"/>
                <w:sz w:val="18"/>
                <w:szCs w:val="18"/>
                <w:lang w:val="en-US" w:eastAsia="zh-CN"/>
              </w:rPr>
              <w:t>2026.7-2027.9</w:t>
            </w:r>
          </w:p>
        </w:tc>
      </w:tr>
      <w:tr w14:paraId="1A682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167" w:type="dxa"/>
            <w:vAlign w:val="center"/>
          </w:tcPr>
          <w:p w14:paraId="2ED5D36E">
            <w:pPr>
              <w:snapToGrid w:val="0"/>
              <w:spacing w:line="360" w:lineRule="auto"/>
              <w:jc w:val="center"/>
              <w:rPr>
                <w:rFonts w:ascii="宋体" w:hAnsi="宋体" w:eastAsia="宋体"/>
                <w:sz w:val="18"/>
                <w:szCs w:val="18"/>
              </w:rPr>
            </w:pPr>
            <w:r>
              <w:rPr>
                <w:rFonts w:hint="eastAsia" w:ascii="宋体" w:hAnsi="宋体" w:eastAsia="宋体"/>
                <w:sz w:val="18"/>
                <w:szCs w:val="18"/>
              </w:rPr>
              <w:t>目的</w:t>
            </w:r>
            <w:r>
              <w:rPr>
                <w:rFonts w:ascii="宋体" w:hAnsi="宋体" w:eastAsia="宋体"/>
                <w:sz w:val="18"/>
                <w:szCs w:val="18"/>
              </w:rPr>
              <w:t>﹑</w:t>
            </w:r>
            <w:r>
              <w:rPr>
                <w:rFonts w:hint="eastAsia" w:ascii="宋体" w:hAnsi="宋体" w:eastAsia="宋体"/>
                <w:sz w:val="18"/>
                <w:szCs w:val="18"/>
              </w:rPr>
              <w:t>意义或必</w:t>
            </w:r>
          </w:p>
          <w:p w14:paraId="58062EF5">
            <w:pPr>
              <w:snapToGrid w:val="0"/>
              <w:spacing w:line="360" w:lineRule="auto"/>
              <w:jc w:val="center"/>
              <w:rPr>
                <w:rFonts w:ascii="宋体" w:hAnsi="宋体" w:eastAsia="宋体"/>
                <w:sz w:val="18"/>
                <w:szCs w:val="18"/>
              </w:rPr>
            </w:pPr>
            <w:r>
              <w:rPr>
                <w:rFonts w:hint="eastAsia" w:ascii="宋体" w:hAnsi="宋体" w:eastAsia="宋体"/>
                <w:sz w:val="18"/>
                <w:szCs w:val="18"/>
              </w:rPr>
              <w:t>要性</w:t>
            </w:r>
          </w:p>
        </w:tc>
        <w:tc>
          <w:tcPr>
            <w:tcW w:w="7573" w:type="dxa"/>
            <w:gridSpan w:val="8"/>
            <w:vAlign w:val="center"/>
          </w:tcPr>
          <w:p w14:paraId="58837E7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ascii="宋体" w:hAnsi="宋体" w:eastAsia="宋体"/>
                <w:sz w:val="18"/>
                <w:szCs w:val="18"/>
              </w:rPr>
            </w:pPr>
          </w:p>
          <w:p w14:paraId="539140C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sz w:val="18"/>
                <w:szCs w:val="18"/>
                <w:u w:val="single"/>
              </w:rPr>
            </w:pPr>
            <w:r>
              <w:rPr>
                <w:rFonts w:hint="eastAsia" w:ascii="宋体" w:hAnsi="宋体" w:eastAsia="宋体"/>
                <w:sz w:val="18"/>
                <w:szCs w:val="18"/>
                <w:u w:val="single"/>
              </w:rPr>
              <w:t>指出标准项目涉及的方面，期望解决的问题；</w:t>
            </w:r>
          </w:p>
          <w:p w14:paraId="5DE88E1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随着“健康中国2030”战略的深入推进以及消费者环保意识的觉醒，我国人造板产业正经历从“无醛环保”向“主动健康”的功能迭代。当前市场上，宣称具有“无醛级”、“防霉”、“抗菌”、“抗病毒”等功能的人造板产品大量涌现，然而，与快速发展的技术和活跃的市场营销形成鲜明对比的是，针对这一类高附加值、高技术复合产品的使用说明书编写规范处于空白状态。许多产品仅笼统标注功能卖点，缺乏对功能原理、有效期限、施工破坏风险及维护禁忌的具体说明。因此，制定《建材产品使用说明书 无醛级防霉抗菌抗病毒人造板》行业标准具有紧迫的现实必要性。本标准的立项旨在通过规范说明书的编制，搭建起生产者核心技术信息与消费者安全正确使用之间的精准桥梁。</w:t>
            </w:r>
          </w:p>
          <w:p w14:paraId="57A915D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从规范市场秩序和保障消费者权益的角度来看，立项制定该标准具有重大意义。目前，无醛级防霉抗菌抗病毒人造板在宣传中常出现概念混淆和信息缺失，例如，将“防霉”等同于“抗菌”，未区分产品是基于表面涂覆还是整体添加实现功能，或未明确告知用户砂光、打磨及使用强酸碱清洁剂会永久性破坏功能层。这些信息盲区极易导致消费误导，甚至引发施工人员职业健康风险。本标准的制定，将强制要求说明书明示产品的安全特性（如粉尘吸入危害）、主要功能成分（如纳米银、光触媒）、功能衰减周期及具体的限用范围。这不仅是对消费者知情权和使用安全的兜底保护，也是倒逼生产企业规范宣传、诚实守信的重要手段，有助于去伪存真，引导行业跳出低质量的价格战，转向以技术透明度和用户体验为核心的价值竞争。</w:t>
            </w:r>
          </w:p>
          <w:p w14:paraId="7A537C3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标准项目主要涉及技术信息规范、安全风险控制、绿色低碳引导三个维度。在技术信息方面，重点解决如何以标准化语言阐释“无醛级”（ENF级）、“抗菌率”、“抗病毒活性率”等专业术语及背后的检测标准；在安全风险方面，明确界定了从吊装、仓储到切割施工全链条的风险警示格式，特别是针对含纳米材料产品的MSDS（化学品安全说明）提供规范；在绿色维度，明确了废弃板材作为生物质燃料循环利用等处置说明要求。此外，标准还兼顾了电子说明书、二维码追溯等信息化手段的应用规范，确保纸质与电子媒介的统一性。</w:t>
            </w:r>
          </w:p>
          <w:p w14:paraId="3D7E77E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cs="宋体"/>
                <w:b w:val="0"/>
                <w:bCs w:val="0"/>
                <w:sz w:val="18"/>
                <w:szCs w:val="18"/>
                <w:lang w:val="en-US" w:eastAsia="zh-CN"/>
              </w:rPr>
            </w:pPr>
          </w:p>
          <w:p w14:paraId="2FFE899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本标准的制定，核心期望解决以下几个问题：一是明确功能人造板的说明书核心构成要素，杜绝说明书“只讲好处不提禁忌”的片面化倾向；二是建立功能有效期与使用条件联动的说明机制，例如明确产品在频繁消毒擦洗下功能衰减的时间节点；三是统一抗病毒、抗菌性能的宣传底线，要求说明书中必须附带具有CMA或CNAS资质的检测报告信息；四是强化施工安全的刚性提示，把对木工、安装工人的粉尘防护和防霉层保护要求落到实处。最终，通过该标准的实施，实现复杂功能家居建材产品说明书“看得懂、用得上、防得住”，以标准化手段助力建材行业的技术升级与绿色健康发展。</w:t>
            </w:r>
          </w:p>
          <w:p w14:paraId="6BF2A52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cs="宋体"/>
                <w:b w:val="0"/>
                <w:bCs w:val="0"/>
                <w:sz w:val="18"/>
                <w:szCs w:val="18"/>
                <w:lang w:val="en-US" w:eastAsia="zh-CN"/>
              </w:rPr>
            </w:pPr>
          </w:p>
        </w:tc>
      </w:tr>
      <w:tr w14:paraId="78B3E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8" w:hRule="atLeast"/>
          <w:jc w:val="center"/>
        </w:trPr>
        <w:tc>
          <w:tcPr>
            <w:tcW w:w="2167" w:type="dxa"/>
            <w:vAlign w:val="center"/>
          </w:tcPr>
          <w:p w14:paraId="2016E5C4">
            <w:pPr>
              <w:snapToGrid w:val="0"/>
              <w:spacing w:line="360" w:lineRule="auto"/>
              <w:jc w:val="center"/>
              <w:rPr>
                <w:rFonts w:ascii="宋体" w:hAnsi="宋体" w:eastAsia="宋体"/>
                <w:sz w:val="18"/>
                <w:szCs w:val="18"/>
              </w:rPr>
            </w:pPr>
            <w:r>
              <w:rPr>
                <w:rFonts w:hint="eastAsia" w:ascii="宋体" w:hAnsi="宋体" w:eastAsia="宋体"/>
                <w:sz w:val="18"/>
                <w:szCs w:val="18"/>
              </w:rPr>
              <w:t>范围和主要</w:t>
            </w:r>
          </w:p>
          <w:p w14:paraId="7787D5AE">
            <w:pPr>
              <w:snapToGrid w:val="0"/>
              <w:spacing w:line="360" w:lineRule="auto"/>
              <w:jc w:val="center"/>
              <w:rPr>
                <w:rFonts w:ascii="宋体" w:hAnsi="宋体" w:eastAsia="宋体"/>
                <w:sz w:val="18"/>
                <w:szCs w:val="18"/>
              </w:rPr>
            </w:pPr>
            <w:r>
              <w:rPr>
                <w:rFonts w:hint="eastAsia" w:ascii="宋体" w:hAnsi="宋体" w:eastAsia="宋体"/>
                <w:sz w:val="18"/>
                <w:szCs w:val="18"/>
              </w:rPr>
              <w:t>技术内容</w:t>
            </w:r>
          </w:p>
        </w:tc>
        <w:tc>
          <w:tcPr>
            <w:tcW w:w="7573" w:type="dxa"/>
            <w:gridSpan w:val="8"/>
            <w:vAlign w:val="center"/>
          </w:tcPr>
          <w:p w14:paraId="15FE3369">
            <w:pPr>
              <w:snapToGrid w:val="0"/>
              <w:spacing w:line="360" w:lineRule="auto"/>
              <w:ind w:firstLine="360" w:firstLineChars="200"/>
              <w:rPr>
                <w:rFonts w:hint="eastAsia" w:ascii="宋体" w:hAnsi="宋体" w:eastAsia="宋体"/>
                <w:sz w:val="18"/>
                <w:szCs w:val="18"/>
                <w:u w:val="single"/>
              </w:rPr>
            </w:pPr>
            <w:r>
              <w:rPr>
                <w:rFonts w:hint="eastAsia" w:ascii="宋体" w:hAnsi="宋体" w:eastAsia="宋体"/>
                <w:sz w:val="18"/>
                <w:szCs w:val="18"/>
                <w:u w:val="single"/>
              </w:rPr>
              <w:t>标准的技术内容与适用范围；</w:t>
            </w:r>
          </w:p>
          <w:p w14:paraId="13C94A0C">
            <w:pPr>
              <w:keepNext w:val="0"/>
              <w:keepLines w:val="0"/>
              <w:pageBreakBefore w:val="0"/>
              <w:widowControl/>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lang w:eastAsia="zh-CN"/>
              </w:rPr>
            </w:pPr>
            <w:r>
              <w:rPr>
                <w:rFonts w:hint="eastAsia" w:ascii="宋体" w:hAnsi="宋体" w:eastAsia="宋体"/>
                <w:sz w:val="18"/>
                <w:szCs w:val="18"/>
                <w:u w:val="none"/>
                <w:lang w:eastAsia="zh-CN"/>
              </w:rPr>
              <w:t>本文件规定了规定了</w:t>
            </w:r>
            <w:r>
              <w:rPr>
                <w:rFonts w:hint="eastAsia" w:ascii="宋体" w:hAnsi="宋体" w:eastAsia="宋体"/>
                <w:sz w:val="18"/>
                <w:szCs w:val="18"/>
                <w:u w:val="none"/>
                <w:lang w:val="en-US" w:eastAsia="zh-CN"/>
              </w:rPr>
              <w:t>抗菌防霉装饰</w:t>
            </w:r>
            <w:r>
              <w:rPr>
                <w:rFonts w:hint="eastAsia" w:ascii="宋体" w:hAnsi="宋体" w:eastAsia="宋体"/>
                <w:sz w:val="18"/>
                <w:szCs w:val="18"/>
                <w:u w:val="none"/>
                <w:lang w:eastAsia="zh-CN"/>
              </w:rPr>
              <w:t>板产品使用说明书（以下简称“说明书”）的基本要求、编制要求、主要构成和编写示例。</w:t>
            </w:r>
          </w:p>
          <w:p w14:paraId="0F905F19">
            <w:pPr>
              <w:keepNext w:val="0"/>
              <w:keepLines w:val="0"/>
              <w:pageBreakBefore w:val="0"/>
              <w:widowControl/>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lang w:eastAsia="zh-CN"/>
              </w:rPr>
            </w:pPr>
            <w:r>
              <w:rPr>
                <w:rFonts w:hint="eastAsia" w:ascii="宋体" w:hAnsi="宋体" w:eastAsia="宋体"/>
                <w:sz w:val="18"/>
                <w:szCs w:val="18"/>
                <w:u w:val="none"/>
                <w:lang w:eastAsia="zh-CN"/>
              </w:rPr>
              <w:t>本文件适用于具有无醛级、防霉、抗菌、抗病毒功能的人造板及其制品使用说明书的编写。</w:t>
            </w:r>
          </w:p>
          <w:p w14:paraId="18D24020">
            <w:pPr>
              <w:keepNext w:val="0"/>
              <w:keepLines w:val="0"/>
              <w:pageBreakBefore w:val="0"/>
              <w:widowControl/>
              <w:numPr>
                <w:ilvl w:val="0"/>
                <w:numId w:val="3"/>
              </w:numPr>
              <w:kinsoku/>
              <w:wordWrap/>
              <w:overflowPunct/>
              <w:topLinePunct w:val="0"/>
              <w:autoSpaceDE/>
              <w:autoSpaceDN/>
              <w:bidi w:val="0"/>
              <w:adjustRightInd/>
              <w:snapToGrid w:val="0"/>
              <w:spacing w:line="360" w:lineRule="auto"/>
              <w:ind w:left="-80" w:leftChars="0" w:firstLine="360" w:firstLineChars="0"/>
              <w:textAlignment w:val="auto"/>
              <w:rPr>
                <w:rFonts w:hint="eastAsia" w:ascii="宋体" w:hAnsi="宋体" w:eastAsia="宋体"/>
                <w:sz w:val="18"/>
                <w:szCs w:val="18"/>
                <w:u w:val="none"/>
                <w:lang w:val="en-US" w:eastAsia="zh-CN"/>
              </w:rPr>
            </w:pPr>
            <w:r>
              <w:rPr>
                <w:rFonts w:hint="eastAsia" w:ascii="宋体" w:hAnsi="宋体" w:eastAsia="宋体"/>
                <w:sz w:val="18"/>
                <w:szCs w:val="18"/>
                <w:u w:val="none"/>
                <w:lang w:val="en-US" w:eastAsia="zh-CN"/>
              </w:rPr>
              <w:t>术语和定义：无醛级、防霉抗菌抗病毒人造板等定义。</w:t>
            </w:r>
          </w:p>
          <w:p w14:paraId="63EF80D8">
            <w:pPr>
              <w:keepNext w:val="0"/>
              <w:keepLines w:val="0"/>
              <w:pageBreakBefore w:val="0"/>
              <w:widowControl/>
              <w:numPr>
                <w:ilvl w:val="0"/>
                <w:numId w:val="3"/>
              </w:numPr>
              <w:kinsoku/>
              <w:wordWrap/>
              <w:overflowPunct/>
              <w:topLinePunct w:val="0"/>
              <w:autoSpaceDE/>
              <w:autoSpaceDN/>
              <w:bidi w:val="0"/>
              <w:adjustRightInd/>
              <w:snapToGrid w:val="0"/>
              <w:spacing w:line="360" w:lineRule="auto"/>
              <w:ind w:left="-80" w:leftChars="0" w:firstLine="360" w:firstLineChars="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基本要求</w:t>
            </w:r>
          </w:p>
          <w:p w14:paraId="0CFE7563">
            <w:pPr>
              <w:keepNext w:val="0"/>
              <w:keepLines w:val="0"/>
              <w:pageBreakBefore w:val="0"/>
              <w:widowControl/>
              <w:numPr>
                <w:ilvl w:val="0"/>
                <w:numId w:val="3"/>
              </w:numPr>
              <w:kinsoku/>
              <w:wordWrap/>
              <w:overflowPunct/>
              <w:topLinePunct w:val="0"/>
              <w:autoSpaceDE/>
              <w:autoSpaceDN/>
              <w:bidi w:val="0"/>
              <w:adjustRightInd/>
              <w:snapToGrid w:val="0"/>
              <w:spacing w:line="360" w:lineRule="auto"/>
              <w:ind w:left="-80" w:leftChars="0" w:firstLine="360" w:firstLineChars="0"/>
              <w:textAlignment w:val="auto"/>
              <w:rPr>
                <w:rFonts w:hint="eastAsia" w:ascii="宋体" w:hAnsi="宋体" w:eastAsia="宋体"/>
                <w:sz w:val="18"/>
                <w:szCs w:val="18"/>
                <w:u w:val="none"/>
                <w:lang w:val="en-US" w:eastAsia="zh-CN"/>
              </w:rPr>
            </w:pPr>
            <w:r>
              <w:rPr>
                <w:rFonts w:hint="eastAsia" w:ascii="宋体" w:hAnsi="宋体" w:eastAsia="宋体"/>
                <w:sz w:val="18"/>
                <w:szCs w:val="18"/>
                <w:u w:val="none"/>
                <w:lang w:val="en-US" w:eastAsia="zh-CN"/>
              </w:rPr>
              <w:t>编制要求：说明书内容应简明、准确、易于理解和阅读，不应引起歧义。说明书应明确给出无醛级防霉抗菌抗病毒人造板的适用范围、功能特性、运输储存条件，以及保护操作者和产品的安全措施。对于添加了纳米银、光触媒等特殊功能材料的产品，应提供完整的化学品安全技术说明（MSDS）。 在加工、锯切、砂光等可能产生粉尘的环节，说明书中应以显著方式标注防尘安全说明或警示说明，并提供通风、个人防尘护具的使用等防护措施。说明书应提供防霉、抗菌、抗病毒功能的有效期及功能衰减的储存期限制。说明书应根据产品的无醛等级、功能类型（防霉型/抗菌抗病毒型/复合型）及厚度规格对应编写。说明书宜包含使用无醛胶黏剂实现的低碳、低VOC挥发，以及功能性替代传统化学消毒方式等环境友好内容等等。</w:t>
            </w:r>
          </w:p>
          <w:p w14:paraId="1C0622DF">
            <w:pPr>
              <w:keepNext w:val="0"/>
              <w:keepLines w:val="0"/>
              <w:pageBreakBefore w:val="0"/>
              <w:widowControl/>
              <w:numPr>
                <w:ilvl w:val="0"/>
                <w:numId w:val="3"/>
              </w:numPr>
              <w:kinsoku/>
              <w:wordWrap/>
              <w:overflowPunct/>
              <w:topLinePunct w:val="0"/>
              <w:autoSpaceDE/>
              <w:autoSpaceDN/>
              <w:bidi w:val="0"/>
              <w:adjustRightInd/>
              <w:snapToGrid w:val="0"/>
              <w:spacing w:line="360" w:lineRule="auto"/>
              <w:ind w:left="-80" w:leftChars="0" w:firstLine="360" w:firstLineChars="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主要构成：标题、标识、版本号和发布日期、主题内容、生产日期等。</w:t>
            </w:r>
          </w:p>
          <w:p w14:paraId="1124F4C2">
            <w:pPr>
              <w:keepNext w:val="0"/>
              <w:keepLines w:val="0"/>
              <w:pageBreakBefore w:val="0"/>
              <w:widowControl/>
              <w:numPr>
                <w:ilvl w:val="0"/>
                <w:numId w:val="3"/>
              </w:numPr>
              <w:kinsoku/>
              <w:wordWrap/>
              <w:overflowPunct/>
              <w:topLinePunct w:val="0"/>
              <w:autoSpaceDE/>
              <w:autoSpaceDN/>
              <w:bidi w:val="0"/>
              <w:adjustRightInd/>
              <w:snapToGrid w:val="0"/>
              <w:spacing w:line="360" w:lineRule="auto"/>
              <w:ind w:left="-80" w:leftChars="0" w:firstLine="360" w:firstLineChars="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编写示例</w:t>
            </w:r>
          </w:p>
          <w:p w14:paraId="23024652">
            <w:pPr>
              <w:keepNext w:val="0"/>
              <w:keepLines w:val="0"/>
              <w:pageBreakBefore w:val="0"/>
              <w:widowControl/>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lang w:val="en-US" w:eastAsia="zh-CN"/>
              </w:rPr>
            </w:pPr>
          </w:p>
        </w:tc>
      </w:tr>
      <w:tr w14:paraId="35163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2167" w:type="dxa"/>
            <w:vAlign w:val="center"/>
          </w:tcPr>
          <w:p w14:paraId="7D419C19">
            <w:pPr>
              <w:snapToGrid w:val="0"/>
              <w:spacing w:line="360" w:lineRule="auto"/>
              <w:jc w:val="center"/>
              <w:rPr>
                <w:rFonts w:ascii="宋体" w:hAnsi="宋体" w:eastAsia="宋体"/>
                <w:sz w:val="18"/>
                <w:szCs w:val="18"/>
              </w:rPr>
            </w:pPr>
            <w:r>
              <w:rPr>
                <w:rFonts w:hint="eastAsia" w:ascii="宋体" w:hAnsi="宋体" w:eastAsia="宋体"/>
                <w:sz w:val="18"/>
                <w:szCs w:val="18"/>
              </w:rPr>
              <w:t>国内外情况</w:t>
            </w:r>
          </w:p>
          <w:p w14:paraId="091F2DE0">
            <w:pPr>
              <w:snapToGrid w:val="0"/>
              <w:spacing w:line="360" w:lineRule="auto"/>
              <w:jc w:val="center"/>
              <w:rPr>
                <w:rFonts w:ascii="宋体" w:hAnsi="宋体" w:eastAsia="宋体"/>
                <w:sz w:val="18"/>
                <w:szCs w:val="18"/>
              </w:rPr>
            </w:pPr>
            <w:r>
              <w:rPr>
                <w:rFonts w:hint="eastAsia" w:ascii="宋体" w:hAnsi="宋体" w:eastAsia="宋体"/>
                <w:sz w:val="18"/>
                <w:szCs w:val="18"/>
              </w:rPr>
              <w:t>简要说明</w:t>
            </w:r>
          </w:p>
        </w:tc>
        <w:tc>
          <w:tcPr>
            <w:tcW w:w="7573" w:type="dxa"/>
            <w:gridSpan w:val="8"/>
            <w:vAlign w:val="center"/>
          </w:tcPr>
          <w:p w14:paraId="27686E47">
            <w:pPr>
              <w:numPr>
                <w:ilvl w:val="0"/>
                <w:numId w:val="4"/>
              </w:numPr>
              <w:snapToGrid w:val="0"/>
              <w:spacing w:line="360" w:lineRule="auto"/>
              <w:rPr>
                <w:rFonts w:hint="eastAsia" w:ascii="宋体" w:hAnsi="宋体" w:eastAsia="宋体"/>
                <w:b/>
                <w:bCs/>
                <w:sz w:val="18"/>
                <w:szCs w:val="18"/>
              </w:rPr>
            </w:pPr>
            <w:r>
              <w:rPr>
                <w:rFonts w:hint="eastAsia" w:ascii="宋体" w:hAnsi="宋体" w:eastAsia="宋体"/>
                <w:b/>
                <w:bCs/>
                <w:sz w:val="18"/>
                <w:szCs w:val="18"/>
                <w:u w:val="single"/>
              </w:rPr>
              <w:t>国内外对该技术研究情况简要说明：</w:t>
            </w:r>
            <w:r>
              <w:rPr>
                <w:rFonts w:hint="eastAsia" w:ascii="宋体" w:hAnsi="宋体" w:eastAsia="宋体"/>
                <w:b/>
                <w:bCs/>
                <w:sz w:val="18"/>
                <w:szCs w:val="18"/>
              </w:rPr>
              <w:t>国内外对该技术研究情况、进程及未来的发展；该技术是否相对稳定，如果不是的话，预计一下技术未来稳定的时间，提出的标准项目是否可作为未来技术发展的基础；</w:t>
            </w:r>
          </w:p>
          <w:p w14:paraId="5A2F6469">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firstLine="360" w:firstLineChars="200"/>
              <w:jc w:val="both"/>
              <w:textAlignment w:val="auto"/>
              <w:rPr>
                <w:rFonts w:hint="default" w:ascii="宋体" w:hAnsi="宋体" w:eastAsia="宋体" w:cs="宋体"/>
                <w:sz w:val="18"/>
                <w:szCs w:val="18"/>
                <w:u w:val="none"/>
                <w:lang w:val="en-US" w:eastAsia="zh-CN"/>
              </w:rPr>
            </w:pPr>
            <w:r>
              <w:rPr>
                <w:rFonts w:hint="eastAsia" w:ascii="宋体" w:hAnsi="宋体" w:eastAsia="宋体" w:cs="宋体"/>
                <w:sz w:val="18"/>
                <w:szCs w:val="18"/>
                <w:u w:val="none"/>
                <w:lang w:val="en-US" w:eastAsia="zh-CN"/>
              </w:rPr>
              <w:t>无醛、</w:t>
            </w:r>
            <w:r>
              <w:rPr>
                <w:rFonts w:hint="default" w:ascii="宋体" w:hAnsi="宋体" w:eastAsia="宋体" w:cs="宋体"/>
                <w:sz w:val="18"/>
                <w:szCs w:val="18"/>
                <w:u w:val="none"/>
                <w:lang w:val="en-US" w:eastAsia="zh-CN"/>
              </w:rPr>
              <w:t>抗菌</w:t>
            </w:r>
            <w:r>
              <w:rPr>
                <w:rFonts w:hint="eastAsia" w:ascii="宋体" w:hAnsi="宋体" w:eastAsia="宋体" w:cs="宋体"/>
                <w:sz w:val="18"/>
                <w:szCs w:val="18"/>
                <w:u w:val="none"/>
                <w:lang w:val="en-US" w:eastAsia="zh-CN"/>
              </w:rPr>
              <w:t>、防霉、</w:t>
            </w:r>
            <w:r>
              <w:rPr>
                <w:rFonts w:hint="default" w:ascii="宋体" w:hAnsi="宋体" w:eastAsia="宋体" w:cs="宋体"/>
                <w:sz w:val="18"/>
                <w:szCs w:val="18"/>
                <w:u w:val="none"/>
                <w:lang w:val="en-US" w:eastAsia="zh-CN"/>
              </w:rPr>
              <w:t>抗病毒</w:t>
            </w:r>
            <w:r>
              <w:rPr>
                <w:rFonts w:hint="eastAsia" w:ascii="宋体" w:hAnsi="宋体" w:eastAsia="宋体" w:cs="宋体"/>
                <w:sz w:val="18"/>
                <w:szCs w:val="18"/>
                <w:u w:val="none"/>
                <w:lang w:val="en-US" w:eastAsia="zh-CN"/>
              </w:rPr>
              <w:t>装饰</w:t>
            </w:r>
            <w:r>
              <w:rPr>
                <w:rFonts w:hint="default" w:ascii="宋体" w:hAnsi="宋体" w:eastAsia="宋体" w:cs="宋体"/>
                <w:sz w:val="18"/>
                <w:szCs w:val="18"/>
                <w:u w:val="none"/>
                <w:lang w:val="en-US" w:eastAsia="zh-CN"/>
              </w:rPr>
              <w:t>板是近年来人造板工业向“健康、环保、功能化”转型升级的前沿方向。在国际上，欧美及日本等发达国家在无醛添加（NAF）人造板领域已形成较为成熟的技术体系，主要采用异氰酸酯胶（MDI）、大豆蛋白胶等无甲醛添加胶黏剂，并以此为基础向多功能复合方向发展。在抗菌抗病毒功能赋予方面，日本率先开展了光触媒（二氧化钛）饰面人造板的应用研究，欧美则侧重纳米银系抗菌材料在木质基材上的负载技术。然而，国外相关研究多聚焦于单一功能的实验室验证，对于防霉、抗菌、抗病毒三种功能的协同实现及其在板材工业化生产中的稳定性控制，尚缺乏系统性研究。在标准层面，国际标准化组织（ISO）及欧盟尚无专门针对“无醛级防霉抗菌抗病毒人造板”的综合标准，与之相关的仅有ISO 22196（塑料表面抗菌测试）、ISO 21702（塑料表面抗病毒测试）等方法标准，缺乏产品综合性能与使用说明书编制的规范。</w:t>
            </w:r>
          </w:p>
          <w:p w14:paraId="3FAE048B">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firstLine="360" w:firstLineChars="200"/>
              <w:jc w:val="both"/>
              <w:textAlignment w:val="auto"/>
              <w:rPr>
                <w:rFonts w:hint="default" w:ascii="宋体" w:hAnsi="宋体" w:eastAsia="宋体" w:cs="宋体"/>
                <w:sz w:val="18"/>
                <w:szCs w:val="18"/>
                <w:u w:val="none"/>
                <w:lang w:val="en-US" w:eastAsia="zh-CN"/>
              </w:rPr>
            </w:pPr>
            <w:r>
              <w:rPr>
                <w:rFonts w:hint="default" w:ascii="宋体" w:hAnsi="宋体" w:eastAsia="宋体" w:cs="宋体"/>
                <w:sz w:val="18"/>
                <w:szCs w:val="18"/>
                <w:u w:val="none"/>
                <w:lang w:val="en-US" w:eastAsia="zh-CN"/>
              </w:rPr>
              <w:t>国内在该领域的研究起步虽晚，但产业化进程迅速。中国林科院木材工业研究所、北京林业大学等科研机构已在纳米材料改性脲醛胶、植物蛋白基无醛胶黏剂方面取得突破，并推动了GB/T 39600《人造板及其制品甲醛释放量分级》中ENF级（无醛级）标准的发布。在抗菌抗病毒功能化方面，国内企业率先实现了纳米银-二氧化钛复合功能助剂在浸渍纸饰面人造板中的规模化应用，产品已广泛应用于医院、幼儿园等场所。目前，T/CNFPIA 3026《抗菌抗病毒人造板》等团体标准已出台，标志着该技术在国内已进入产业化稳定阶段。从技术成熟度判断，无醛基材制造技术已相对稳定，防霉抗菌抗病毒功能赋予技术已从“能不能实现”的探索期进入“如何保持长效稳定”的优化期。</w:t>
            </w:r>
          </w:p>
          <w:p w14:paraId="79DC321E">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firstLine="360" w:firstLineChars="200"/>
              <w:jc w:val="both"/>
              <w:textAlignment w:val="auto"/>
              <w:rPr>
                <w:rFonts w:hint="default" w:ascii="宋体" w:hAnsi="宋体" w:eastAsia="宋体" w:cs="宋体"/>
                <w:sz w:val="18"/>
                <w:szCs w:val="18"/>
                <w:u w:val="none"/>
                <w:lang w:val="en-US" w:eastAsia="zh-CN"/>
              </w:rPr>
            </w:pPr>
            <w:r>
              <w:rPr>
                <w:rFonts w:hint="default" w:ascii="宋体" w:hAnsi="宋体" w:eastAsia="宋体" w:cs="宋体"/>
                <w:sz w:val="18"/>
                <w:szCs w:val="18"/>
                <w:u w:val="none"/>
                <w:lang w:val="en-US" w:eastAsia="zh-CN"/>
              </w:rPr>
              <w:t>综合来看，无醛级防霉抗菌抗病毒人造板的核心技术已具备相对稳定性。其中，无醛胶黏剂的生产工艺与质量控制已趋于成熟，防霉抗菌抗病毒功能涂层的附着力、耐候性等关键技术指标已能在工业化条件下实现有效控制，预计未来3至5年内技术将进入完全稳定期。当前存在的主要问题是功能耐久性评价方法不统一、说明书编制缺乏规范，导致市场宣传与实际使用效果之间存在信息偏差。本标准的提出，并非针对产品性能指标的制定，而是聚焦于使用说明书这一信息传递工具，从规范产品功能表述、安全警示、有效期声明、维护禁忌等角度切入，因此不受技术迭代的直接影响。即使未来功能助剂体系进一步升级，说明书的框架结构和编制原则仍可沿用，使本标准具备作为未来技术发展基础性规范的能力。</w:t>
            </w:r>
          </w:p>
          <w:p w14:paraId="19FB96DF">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firstLine="360" w:firstLineChars="200"/>
              <w:jc w:val="both"/>
              <w:textAlignment w:val="auto"/>
              <w:rPr>
                <w:rFonts w:hint="default" w:ascii="宋体" w:hAnsi="宋体" w:eastAsia="宋体" w:cs="宋体"/>
                <w:sz w:val="18"/>
                <w:szCs w:val="18"/>
                <w:u w:val="none"/>
                <w:lang w:val="en-US" w:eastAsia="zh-CN"/>
              </w:rPr>
            </w:pPr>
          </w:p>
          <w:p w14:paraId="45C3C6FD">
            <w:pPr>
              <w:numPr>
                <w:ilvl w:val="0"/>
                <w:numId w:val="4"/>
              </w:numPr>
              <w:snapToGrid w:val="0"/>
              <w:spacing w:line="360" w:lineRule="auto"/>
              <w:ind w:left="0" w:leftChars="0" w:firstLine="0" w:firstLineChars="0"/>
              <w:rPr>
                <w:rFonts w:hint="eastAsia" w:ascii="宋体" w:hAnsi="宋体" w:eastAsia="宋体"/>
                <w:b/>
                <w:bCs/>
                <w:color w:val="auto"/>
                <w:sz w:val="18"/>
                <w:szCs w:val="18"/>
              </w:rPr>
            </w:pPr>
            <w:r>
              <w:rPr>
                <w:rFonts w:hint="eastAsia" w:ascii="宋体" w:hAnsi="宋体" w:eastAsia="宋体"/>
                <w:b/>
                <w:bCs/>
                <w:sz w:val="18"/>
                <w:szCs w:val="18"/>
                <w:u w:val="single"/>
              </w:rPr>
              <w:t>项目与国际标准或国外先进标准采用程度的考虑：</w:t>
            </w:r>
            <w:r>
              <w:rPr>
                <w:rFonts w:hint="eastAsia" w:ascii="宋体" w:hAnsi="宋体" w:eastAsia="宋体"/>
                <w:b/>
                <w:bCs/>
                <w:sz w:val="18"/>
                <w:szCs w:val="18"/>
              </w:rPr>
              <w:t>该标准项目是否有对应的国际标准或国外先进标</w:t>
            </w:r>
            <w:r>
              <w:rPr>
                <w:rFonts w:hint="eastAsia" w:ascii="宋体" w:hAnsi="宋体" w:eastAsia="宋体"/>
                <w:b/>
                <w:bCs/>
                <w:color w:val="auto"/>
                <w:sz w:val="18"/>
                <w:szCs w:val="18"/>
              </w:rPr>
              <w:t>准，标准制定过程中如何考虑采用的问题；</w:t>
            </w:r>
          </w:p>
          <w:p w14:paraId="128DD10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color w:val="auto"/>
                <w:sz w:val="18"/>
                <w:szCs w:val="18"/>
                <w:lang w:val="en-US" w:eastAsia="zh-CN"/>
              </w:rPr>
            </w:pPr>
            <w:r>
              <w:rPr>
                <w:rFonts w:hint="eastAsia" w:ascii="宋体" w:hAnsi="宋体" w:eastAsia="宋体"/>
                <w:color w:val="auto"/>
                <w:sz w:val="18"/>
                <w:szCs w:val="18"/>
                <w:lang w:val="en-US" w:eastAsia="zh-CN"/>
              </w:rPr>
              <w:t>经查，该标准没有对应的国际标准，故本项目不涉及采用国际或国外先进标准的问题。</w:t>
            </w:r>
          </w:p>
          <w:p w14:paraId="73C4210E">
            <w:pPr>
              <w:numPr>
                <w:ilvl w:val="0"/>
                <w:numId w:val="4"/>
              </w:numPr>
              <w:snapToGrid w:val="0"/>
              <w:spacing w:line="360" w:lineRule="auto"/>
              <w:ind w:left="0" w:leftChars="0" w:firstLine="0" w:firstLineChars="0"/>
              <w:rPr>
                <w:rFonts w:hint="eastAsia" w:ascii="宋体" w:hAnsi="宋体" w:eastAsia="宋体"/>
                <w:b/>
                <w:bCs/>
                <w:color w:val="auto"/>
                <w:sz w:val="18"/>
                <w:szCs w:val="18"/>
              </w:rPr>
            </w:pPr>
            <w:r>
              <w:rPr>
                <w:rFonts w:hint="eastAsia" w:ascii="宋体" w:hAnsi="宋体" w:eastAsia="宋体"/>
                <w:b/>
                <w:bCs/>
                <w:color w:val="auto"/>
                <w:sz w:val="18"/>
                <w:szCs w:val="18"/>
                <w:u w:val="single"/>
              </w:rPr>
              <w:t>与国内相关标准间的关系：</w:t>
            </w:r>
            <w:r>
              <w:rPr>
                <w:rFonts w:hint="eastAsia" w:ascii="宋体" w:hAnsi="宋体" w:eastAsia="宋体"/>
                <w:b/>
                <w:bCs/>
                <w:color w:val="auto"/>
                <w:sz w:val="18"/>
                <w:szCs w:val="18"/>
              </w:rPr>
              <w:t>该标准项目是否有相关的国家或行业标准，该标准项目与这些标准是什么关系，该标准项目在标准体系中的位置；</w:t>
            </w:r>
          </w:p>
          <w:p w14:paraId="79394C1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本项标准在编制思路上属于建材产品使用说明书的专用规范，与现行国家</w:t>
            </w:r>
            <w:r>
              <w:rPr>
                <w:rFonts w:hint="eastAsia" w:ascii="宋体" w:hAnsi="宋体" w:eastAsia="宋体"/>
                <w:sz w:val="18"/>
                <w:szCs w:val="18"/>
                <w:lang w:val="en-US" w:eastAsia="zh-CN"/>
              </w:rPr>
              <w:t>建材行业</w:t>
            </w:r>
            <w:r>
              <w:rPr>
                <w:rFonts w:hint="default" w:ascii="宋体" w:hAnsi="宋体" w:eastAsia="宋体"/>
                <w:sz w:val="18"/>
                <w:szCs w:val="18"/>
                <w:lang w:val="en-US" w:eastAsia="zh-CN"/>
              </w:rPr>
              <w:t>标准《建材产品使用说明书 通用要求》形成“通用要求—专用规范”的配套关系。通用要求为各类建材产品使用说明书的编制提供了基本框架和原则性规定，涵盖基本要求、编制要求及主要构成等共性内容；本项标准在此基础上，针对无醛级防霉抗菌抗病毒人造板这一特定产品类别，对说明书的构成要素、技术参数表述方式、安全警示内容、功能有效期声明等进行了具体化和细化，是对通用要求在功能性人造板细分领域的具体落实和延伸。</w:t>
            </w:r>
          </w:p>
          <w:p w14:paraId="39B7CFA1">
            <w:pPr>
              <w:keepNext w:val="0"/>
              <w:keepLines w:val="0"/>
              <w:pageBreakBefore w:val="0"/>
              <w:widowControl w:val="0"/>
              <w:numPr>
                <w:ilvl w:val="0"/>
                <w:numId w:val="0"/>
              </w:numPr>
              <w:kinsoku/>
              <w:wordWrap/>
              <w:overflowPunct/>
              <w:topLinePunct w:val="0"/>
              <w:autoSpaceDE/>
              <w:autoSpaceDN/>
              <w:bidi w:val="0"/>
              <w:adjustRightInd/>
              <w:snapToGrid w:val="0"/>
              <w:spacing w:line="300" w:lineRule="exact"/>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在产品性能标准层面，本项标准与多项现行标准存在引用和衔接关系。在甲醛释放限量方面，GB/T 39600《人造板及其制品甲醛释放量分级》确立了ENF级（无醛级）的指标要求，本项标准要求说明书必须明示产品所达到的等级及对应检测数据；在抗菌防霉性能方面，JC/T 2039《抗菌防霉木质装饰板》规定了相关试验方法与技术要求，为说明书中的功能特性声明提供了技术依据；在抗病毒性能方面，已发布的T/CNFPIA 3026《抗菌抗病毒人造板》等团体标准填补了检测方法的空白，本项标准将其作为说明书引用的规范性文件之一。此外，GB/T 18259《人造板及其表面装饰术语》为说明书中产品名称和术语的使用提供了规范依据。本项标准不重复规定产品性能指标，而是通过规范说明书的编写要求，确保上述标准中的关键信息在产品交付环节得以准确、完整地传递给用户，与现有产品标准形成“产品标准定指标、说明书标准管传递”的互补关系。</w:t>
            </w:r>
          </w:p>
          <w:p w14:paraId="392BCA3E">
            <w:pPr>
              <w:keepNext w:val="0"/>
              <w:keepLines w:val="0"/>
              <w:pageBreakBefore w:val="0"/>
              <w:widowControl w:val="0"/>
              <w:numPr>
                <w:ilvl w:val="0"/>
                <w:numId w:val="0"/>
              </w:numPr>
              <w:kinsoku/>
              <w:wordWrap/>
              <w:overflowPunct/>
              <w:topLinePunct w:val="0"/>
              <w:autoSpaceDE/>
              <w:autoSpaceDN/>
              <w:bidi w:val="0"/>
              <w:adjustRightInd/>
              <w:snapToGrid w:val="0"/>
              <w:spacing w:line="300" w:lineRule="exact"/>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在标准体系中的位置而言，本项标准归属于建材产品使用说明书标准系列。纵向来看，在标准体系层级中，GB/T 9969《工业产品使用说明书 总则》为顶层通用基础标准，《建材产品使用说明书 通用要求》为建材行业中层通用规范，本项标准则处于该体系的最末端——即针对具体品类产品的专用说明书规范。横向来看，本项标准的制定将为其他人造板细分品类（如阻燃板、防潮板、净醛板等）的说明书编制提供参照范式，推动形成覆盖各类功能型人造板产品说明书的系列化专用标准群。</w:t>
            </w:r>
          </w:p>
          <w:p w14:paraId="56327E10">
            <w:pPr>
              <w:keepNext w:val="0"/>
              <w:keepLines w:val="0"/>
              <w:pageBreakBefore w:val="0"/>
              <w:widowControl w:val="0"/>
              <w:numPr>
                <w:ilvl w:val="0"/>
                <w:numId w:val="0"/>
              </w:numPr>
              <w:kinsoku/>
              <w:wordWrap/>
              <w:overflowPunct/>
              <w:topLinePunct w:val="0"/>
              <w:autoSpaceDE/>
              <w:autoSpaceDN/>
              <w:bidi w:val="0"/>
              <w:adjustRightInd/>
              <w:snapToGrid w:val="0"/>
              <w:spacing w:line="300" w:lineRule="exact"/>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目前，国内尚无专门针对无醛级防霉抗菌抗病毒人造板使用说明书编制的国家或行业标准，本项标准可填补该领域在说明书编制规范上的空白，与现有标准体系不存在交叉重复或冲突，且能够与上下游标准形成良好的衔接与支撑关系。</w:t>
            </w:r>
          </w:p>
          <w:p w14:paraId="0B9FDBB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p>
          <w:p w14:paraId="13588EB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bookmarkStart w:id="0" w:name="_GoBack"/>
            <w:bookmarkEnd w:id="0"/>
          </w:p>
          <w:p w14:paraId="5C00DCD2">
            <w:pPr>
              <w:numPr>
                <w:ilvl w:val="0"/>
                <w:numId w:val="4"/>
              </w:numPr>
              <w:snapToGrid w:val="0"/>
              <w:spacing w:line="360" w:lineRule="auto"/>
              <w:ind w:left="0" w:leftChars="0" w:firstLine="0" w:firstLineChars="0"/>
              <w:rPr>
                <w:rFonts w:hint="eastAsia" w:ascii="宋体" w:hAnsi="宋体" w:eastAsia="宋体"/>
                <w:b/>
                <w:bCs/>
                <w:sz w:val="18"/>
                <w:szCs w:val="18"/>
                <w:u w:val="single"/>
              </w:rPr>
            </w:pPr>
            <w:r>
              <w:rPr>
                <w:rFonts w:hint="eastAsia" w:ascii="宋体" w:hAnsi="宋体" w:eastAsia="宋体"/>
                <w:b/>
                <w:bCs/>
                <w:sz w:val="18"/>
                <w:szCs w:val="18"/>
                <w:u w:val="single"/>
              </w:rPr>
              <w:t>指出是否发现有知识产权的问题。</w:t>
            </w:r>
          </w:p>
          <w:p w14:paraId="624039B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经查阅不涉及专利。</w:t>
            </w:r>
          </w:p>
        </w:tc>
      </w:tr>
      <w:tr w14:paraId="0267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2167" w:type="dxa"/>
            <w:vAlign w:val="center"/>
          </w:tcPr>
          <w:p w14:paraId="246FFCDC">
            <w:pPr>
              <w:pStyle w:val="5"/>
              <w:tabs>
                <w:tab w:val="clear" w:pos="4153"/>
                <w:tab w:val="clear" w:pos="8306"/>
              </w:tabs>
              <w:spacing w:line="360" w:lineRule="auto"/>
              <w:rPr>
                <w:rFonts w:ascii="宋体" w:hAnsi="宋体" w:eastAsia="宋体"/>
              </w:rPr>
            </w:pPr>
            <w:r>
              <w:rPr>
                <w:rFonts w:hint="eastAsia" w:ascii="宋体" w:hAnsi="宋体" w:eastAsia="宋体"/>
              </w:rPr>
              <w:t>牵头单位</w:t>
            </w:r>
          </w:p>
        </w:tc>
        <w:tc>
          <w:tcPr>
            <w:tcW w:w="3972" w:type="dxa"/>
            <w:gridSpan w:val="5"/>
            <w:vAlign w:val="center"/>
          </w:tcPr>
          <w:p w14:paraId="18971973">
            <w:pPr>
              <w:snapToGrid w:val="0"/>
              <w:spacing w:line="360" w:lineRule="auto"/>
              <w:jc w:val="center"/>
              <w:rPr>
                <w:rFonts w:ascii="宋体" w:hAnsi="宋体" w:eastAsia="宋体"/>
                <w:sz w:val="18"/>
                <w:szCs w:val="18"/>
              </w:rPr>
            </w:pPr>
          </w:p>
          <w:p w14:paraId="62674B69">
            <w:pPr>
              <w:snapToGrid w:val="0"/>
              <w:spacing w:line="360" w:lineRule="auto"/>
              <w:jc w:val="center"/>
              <w:rPr>
                <w:rFonts w:ascii="宋体" w:hAnsi="宋体" w:eastAsia="宋体"/>
                <w:sz w:val="18"/>
                <w:szCs w:val="18"/>
              </w:rPr>
            </w:pPr>
            <w:r>
              <w:rPr>
                <w:rFonts w:hint="eastAsia" w:ascii="宋体" w:hAnsi="宋体" w:eastAsia="宋体"/>
                <w:sz w:val="18"/>
                <w:szCs w:val="18"/>
              </w:rPr>
              <w:t>（签字、盖公章）月     日</w:t>
            </w:r>
          </w:p>
        </w:tc>
        <w:tc>
          <w:tcPr>
            <w:tcW w:w="1701" w:type="dxa"/>
            <w:gridSpan w:val="2"/>
            <w:vAlign w:val="center"/>
          </w:tcPr>
          <w:p w14:paraId="182AB16E">
            <w:pPr>
              <w:snapToGrid w:val="0"/>
              <w:spacing w:line="360" w:lineRule="auto"/>
              <w:jc w:val="center"/>
              <w:rPr>
                <w:rFonts w:ascii="宋体" w:hAnsi="宋体" w:eastAsia="宋体"/>
                <w:sz w:val="18"/>
                <w:szCs w:val="18"/>
              </w:rPr>
            </w:pPr>
            <w:r>
              <w:rPr>
                <w:rFonts w:hint="eastAsia" w:ascii="宋体" w:hAnsi="宋体" w:eastAsia="宋体"/>
                <w:sz w:val="18"/>
                <w:szCs w:val="18"/>
              </w:rPr>
              <w:t>归口管理部门</w:t>
            </w:r>
          </w:p>
        </w:tc>
        <w:tc>
          <w:tcPr>
            <w:tcW w:w="1900" w:type="dxa"/>
            <w:vAlign w:val="center"/>
          </w:tcPr>
          <w:p w14:paraId="6A125936">
            <w:pPr>
              <w:snapToGrid w:val="0"/>
              <w:spacing w:line="360" w:lineRule="auto"/>
              <w:rPr>
                <w:rFonts w:ascii="宋体" w:hAnsi="宋体" w:eastAsia="宋体"/>
                <w:sz w:val="18"/>
                <w:szCs w:val="18"/>
              </w:rPr>
            </w:pPr>
          </w:p>
          <w:p w14:paraId="79A663D1">
            <w:pPr>
              <w:snapToGrid w:val="0"/>
              <w:rPr>
                <w:rFonts w:ascii="宋体" w:hAnsi="宋体" w:eastAsia="宋体"/>
                <w:sz w:val="18"/>
                <w:szCs w:val="18"/>
              </w:rPr>
            </w:pPr>
            <w:r>
              <w:rPr>
                <w:rFonts w:hint="eastAsia" w:ascii="宋体" w:hAnsi="宋体" w:eastAsia="宋体"/>
                <w:sz w:val="18"/>
                <w:szCs w:val="18"/>
              </w:rPr>
              <w:t>（签字、盖公章）</w:t>
            </w:r>
          </w:p>
          <w:p w14:paraId="64E6BA93">
            <w:pPr>
              <w:snapToGrid w:val="0"/>
              <w:rPr>
                <w:rFonts w:ascii="宋体" w:hAnsi="宋体" w:eastAsia="宋体"/>
                <w:sz w:val="18"/>
                <w:szCs w:val="18"/>
              </w:rPr>
            </w:pPr>
            <w:r>
              <w:rPr>
                <w:rFonts w:hint="eastAsia" w:ascii="宋体" w:hAnsi="宋体" w:eastAsia="宋体"/>
                <w:sz w:val="18"/>
                <w:szCs w:val="18"/>
              </w:rPr>
              <w:t xml:space="preserve">    月     日</w:t>
            </w:r>
          </w:p>
        </w:tc>
      </w:tr>
    </w:tbl>
    <w:p w14:paraId="7A5CB49F">
      <w:pPr>
        <w:snapToGrid w:val="0"/>
        <w:spacing w:beforeLines="5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14:paraId="65BFAE09">
      <w:pPr>
        <w:snapToGrid w:val="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14:paraId="67C3A64D">
      <w:pPr>
        <w:snapToGrid w:val="0"/>
        <w:ind w:left="448" w:leftChars="160" w:firstLine="54" w:firstLineChars="30"/>
        <w:rPr>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14:paraId="744BA66C">
      <w:pPr>
        <w:snapToGrid w:val="0"/>
        <w:rPr>
          <w:sz w:val="18"/>
          <w:szCs w:val="18"/>
        </w:rPr>
      </w:pPr>
    </w:p>
    <w:p w14:paraId="66926D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701661"/>
    <w:multiLevelType w:val="singleLevel"/>
    <w:tmpl w:val="0C701661"/>
    <w:lvl w:ilvl="0" w:tentative="0">
      <w:start w:val="1"/>
      <w:numFmt w:val="decimal"/>
      <w:suff w:val="space"/>
      <w:lvlText w:val="%1."/>
      <w:lvlJc w:val="left"/>
    </w:lvl>
  </w:abstractNum>
  <w:abstractNum w:abstractNumId="1">
    <w:nsid w:val="0FC943DC"/>
    <w:multiLevelType w:val="singleLevel"/>
    <w:tmpl w:val="0FC943DC"/>
    <w:lvl w:ilvl="0" w:tentative="0">
      <w:start w:val="1"/>
      <w:numFmt w:val="decimal"/>
      <w:suff w:val="nothing"/>
      <w:lvlText w:val="%1）"/>
      <w:lvlJc w:val="left"/>
      <w:pPr>
        <w:ind w:left="-80"/>
      </w:pPr>
    </w:lvl>
  </w:abstractNum>
  <w:abstractNum w:abstractNumId="2">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8"/>
      <w:suff w:val="nothing"/>
      <w:lvlText w:val="%1%2　"/>
      <w:lvlJc w:val="left"/>
      <w:pPr>
        <w:ind w:left="0" w:firstLine="0"/>
      </w:pPr>
      <w:rPr>
        <w:rFonts w:hint="eastAsia" w:ascii="黑体" w:eastAsia="黑体"/>
        <w:b w:val="0"/>
        <w:i w:val="0"/>
        <w:sz w:val="21"/>
      </w:rPr>
    </w:lvl>
    <w:lvl w:ilvl="2" w:tentative="0">
      <w:start w:val="1"/>
      <w:numFmt w:val="decimal"/>
      <w:pStyle w:val="17"/>
      <w:suff w:val="nothing"/>
      <w:lvlText w:val="%1%2.%3　"/>
      <w:lvlJc w:val="left"/>
      <w:pPr>
        <w:ind w:left="6095"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suff w:val="nothing"/>
      <w:lvlText w:val="%1%2.%3.%4　"/>
      <w:lvlJc w:val="left"/>
      <w:pPr>
        <w:ind w:left="2835"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723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499"/>
    <w:rsid w:val="00314295"/>
    <w:rsid w:val="00631028"/>
    <w:rsid w:val="00747499"/>
    <w:rsid w:val="00A618D0"/>
    <w:rsid w:val="00E03E1D"/>
    <w:rsid w:val="00F7264B"/>
    <w:rsid w:val="02FE24E2"/>
    <w:rsid w:val="04041965"/>
    <w:rsid w:val="076F17EB"/>
    <w:rsid w:val="07A22BB8"/>
    <w:rsid w:val="086C5D2B"/>
    <w:rsid w:val="0F9D2C6D"/>
    <w:rsid w:val="0FB8533B"/>
    <w:rsid w:val="17835CBE"/>
    <w:rsid w:val="1C224C26"/>
    <w:rsid w:val="21415B4F"/>
    <w:rsid w:val="24E91ABB"/>
    <w:rsid w:val="29325D7D"/>
    <w:rsid w:val="29F85218"/>
    <w:rsid w:val="2D34352C"/>
    <w:rsid w:val="2F4E0DAB"/>
    <w:rsid w:val="31083F93"/>
    <w:rsid w:val="33DF45BF"/>
    <w:rsid w:val="36171DC5"/>
    <w:rsid w:val="37E868CC"/>
    <w:rsid w:val="38BD49C5"/>
    <w:rsid w:val="39822409"/>
    <w:rsid w:val="39BA4D27"/>
    <w:rsid w:val="3B5953EB"/>
    <w:rsid w:val="3B691AD2"/>
    <w:rsid w:val="3E6E11AD"/>
    <w:rsid w:val="43536B83"/>
    <w:rsid w:val="464C0026"/>
    <w:rsid w:val="4ABA40F8"/>
    <w:rsid w:val="52461E2B"/>
    <w:rsid w:val="52BB7F3F"/>
    <w:rsid w:val="530A15B2"/>
    <w:rsid w:val="5A0233C6"/>
    <w:rsid w:val="5AFD43A2"/>
    <w:rsid w:val="5B5E462C"/>
    <w:rsid w:val="5E7C6EF9"/>
    <w:rsid w:val="616E30EF"/>
    <w:rsid w:val="61A11A3C"/>
    <w:rsid w:val="61C30C5E"/>
    <w:rsid w:val="62FB0777"/>
    <w:rsid w:val="65FE0C02"/>
    <w:rsid w:val="66E31E89"/>
    <w:rsid w:val="6A94006A"/>
    <w:rsid w:val="757D1129"/>
    <w:rsid w:val="7E614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szCs w:val="2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w:basedOn w:val="1"/>
    <w:qFormat/>
    <w:uiPriority w:val="99"/>
    <w:pPr>
      <w:autoSpaceDE w:val="0"/>
      <w:autoSpaceDN w:val="0"/>
      <w:adjustRightInd w:val="0"/>
      <w:ind w:left="118"/>
      <w:jc w:val="left"/>
    </w:pPr>
    <w:rPr>
      <w:rFonts w:ascii="宋体" w:cs="宋体"/>
      <w:kern w:val="0"/>
      <w:szCs w:val="21"/>
    </w:rPr>
  </w:style>
  <w:style w:type="paragraph" w:styleId="4">
    <w:name w:val="footer"/>
    <w:basedOn w:val="1"/>
    <w:link w:val="12"/>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semiHidden/>
    <w:unhideWhenUsed/>
    <w:qFormat/>
    <w:uiPriority w:val="99"/>
    <w:rPr>
      <w:sz w:val="24"/>
    </w:rPr>
  </w:style>
  <w:style w:type="character" w:styleId="9">
    <w:name w:val="Strong"/>
    <w:basedOn w:val="8"/>
    <w:qFormat/>
    <w:uiPriority w:val="22"/>
    <w:rPr>
      <w:b/>
    </w:rPr>
  </w:style>
  <w:style w:type="character" w:styleId="10">
    <w:name w:val="Hyperlink"/>
    <w:basedOn w:val="8"/>
    <w:semiHidden/>
    <w:unhideWhenUsed/>
    <w:qFormat/>
    <w:uiPriority w:val="99"/>
    <w:rPr>
      <w:color w:val="0000FF"/>
      <w:u w:val="single"/>
    </w:rPr>
  </w:style>
  <w:style w:type="character" w:customStyle="1" w:styleId="11">
    <w:name w:val="页眉 Char"/>
    <w:basedOn w:val="8"/>
    <w:link w:val="5"/>
    <w:qFormat/>
    <w:uiPriority w:val="0"/>
    <w:rPr>
      <w:sz w:val="18"/>
      <w:szCs w:val="18"/>
    </w:rPr>
  </w:style>
  <w:style w:type="character" w:customStyle="1" w:styleId="12">
    <w:name w:val="页脚 Char"/>
    <w:basedOn w:val="8"/>
    <w:link w:val="4"/>
    <w:semiHidden/>
    <w:qFormat/>
    <w:uiPriority w:val="99"/>
    <w:rPr>
      <w:sz w:val="18"/>
      <w:szCs w:val="18"/>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4">
    <w:name w:val="目次、标准名称标题"/>
    <w:basedOn w:val="1"/>
    <w:next w:val="1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7">
    <w:name w:val="标准文件_一级条标题"/>
    <w:basedOn w:val="18"/>
    <w:next w:val="19"/>
    <w:qFormat/>
    <w:uiPriority w:val="0"/>
    <w:pPr>
      <w:numPr>
        <w:ilvl w:val="2"/>
      </w:numPr>
      <w:spacing w:before="50" w:beforeLines="50" w:after="50" w:afterLines="50"/>
      <w:ind w:left="0"/>
      <w:outlineLvl w:val="1"/>
    </w:pPr>
  </w:style>
  <w:style w:type="paragraph" w:customStyle="1" w:styleId="18">
    <w:name w:val="标准文件_章标题"/>
    <w:next w:val="19"/>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一级条标题"/>
    <w:next w:val="13"/>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4169</Words>
  <Characters>4394</Characters>
  <Lines>4</Lines>
  <Paragraphs>1</Paragraphs>
  <TotalTime>160</TotalTime>
  <ScaleCrop>false</ScaleCrop>
  <LinksUpToDate>false</LinksUpToDate>
  <CharactersWithSpaces>4446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2018-05-31T09:17:00Z</dcterms:created>
  <dc:creator>bz</dc:creator>
  <cp:lastModifiedBy>刘蕊蕊</cp:lastModifiedBy>
  <dcterms:modified xsi:type="dcterms:W3CDTF">2026-06-26T09:01:11Z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eyJoZGlkIjoiZWFkNmEyNGI4NDEzMGMxZjI4YzExODVhY2VjNzJiN2EiLCJ1c2VySWQiOiIxMjY1ODEzNjU2In0=</vt:lpwstr>
  </property>
  <property fmtid="{D5CDD505-2E9C-101B-9397-08002B2CF9AE}" pid="3" name="KSOProductBuildVer">
    <vt:lpwstr>2052-12.1.0.26895</vt:lpwstr>
  </property>
  <property fmtid="{D5CDD505-2E9C-101B-9397-08002B2CF9AE}" pid="4" name="ICV">
    <vt:lpwstr>841A092A74B4463EAF5CF041E838BA7B_13</vt:lpwstr>
  </property>
</Properties>
</file>